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IA 29 vom 6. Februar 1981</w:t>
      </w:r>
    </w:p>
    <w:p>
      <w:r>
        <w:t>Bundesgericht (BGE), 1981-02-06, DE</w:t>
      </w:r>
    </w:p>
    <w:p>
      <w:r>
        <w:rPr>
          <w:b/>
        </w:rPr>
        <w:t xml:space="preserve">Quelle: </w:t>
      </w:r>
      <w:r>
        <w:t>https://mcp.opencaselaw.ch/entscheid/bge_107 IA 29</w:t>
      </w:r>
    </w:p>
    <w:p>
      <w:r>
        <w:t>FR: BGE 107 IA 29 du 6 février 1981</w:t>
      </w:r>
    </w:p>
    <w:p>
      <w:r>
        <w:t>IT: BGE 107 IA 29 del 6 febbraio 1981</w:t>
      </w:r>
    </w:p>
    <w:p>
      <w:pPr>
        <w:pStyle w:val="Heading2"/>
      </w:pPr>
      <w:r>
        <w:t>Regeste</w:t>
      </w:r>
    </w:p>
    <w:p>
      <w:r>
        <w:t>Regeste Kanzleigebühr. Erstellung von Fotokopien. Ist ein Gebührenansatz von Fr. 2.-- pro Seite mit dem Äquivalenzprinzip vereinbar? Frage verneint bei einer grossen Auflage von Kopien.</w:t>
      </w:r>
    </w:p>
    <w:p>
      <w:pPr>
        <w:pStyle w:val="Heading2"/>
      </w:pPr>
      <w:r>
        <w:t>Erwägungen</w:t>
      </w:r>
    </w:p>
    <w:p>
      <w:r>
        <w:rPr>
          <w:b/>
        </w:rPr>
        <w:t>E. 1</w:t>
      </w:r>
    </w:p>
    <w:p>
      <w:r>
        <w:t>(Das Bundesgericht hält die Beschwerde, soweit sie sich gegen den Entscheid der Inspektionskommission des Obergerichts richtet, für unzulässig. Es tritt aber auf die Beschwerde ein, soweit damit ebenfalls der Entscheid des Bezirksgerichts Kulm angefochten wurde.)</w:t>
      </w:r>
    </w:p>
    <w:p>
      <w:r>
        <w:rPr>
          <w:b/>
        </w:rPr>
        <w:t>E. 2</w:t>
      </w:r>
    </w:p>
    <w:p>
      <w:r>
        <w:t>a) Die vom Bezirksgericht Kulm angewandte Verordnung des Regierungsrates über die Kanzleigebühren vom 23. Dezember 1971 sieht in § 1 lit. c für die Erstellung von Fotokopien einen Ansatz von Fr. 2.-- vor. Diese Bestimmung steht im Gegensatz zu § 7 des Dekretes des Grossen Rates über die Gebühren in Zivil- und Strafsachen und die Entschädigung der Parteien, Zeugen und Sachverständigen vom 9. Januar 1968, denn nach dieser Bestimmung haben die Gerichte für die Erstellung von Fotokopien nur Fr. 1.50 zu erheben. Die regierungsrätliche Verordnungsbestimmung war somit im Anwendungsbereich des genannten Dekretes ungültig, solange in § 7 dieses Dekrets für Fotokopien ein Ansatz von Fr. 1.50 vorgesehen war. Am 19. Dezember 1973 änderte der Grosse Rat jedoch diese Bestimmung ab und legte im neuen Text BGE 107 Ia 29 S. 32 fest, dass die Gerichte ihre Kanzleigebühren nach den jeweils geltenden Ansätzen der Verordnung des Regierungsrates zu erheben hätten. Mit dem abgeänderten § 7 des Dekretes erhielt die regierungsrätliche Verordnung über die Kanzleigebühren, welche für den Bereich der Gerichte zunächst ungültig gewesen war, nachträglich eine genügende gesetzliche Grundlage (vgl. André GRISEL, L'application du droit public dans le temps, ZBl 75/1974, S. 233 ff., 239). Die von der Beschwerdeführerin vorgebrachte Rüge, die im angefochtenen Entscheid angewandte Verordnungsbestimmung könne sich nicht auf ein grossrätliches Dekret stützen, bzw. stehe mit einem solchen im Widerspruch, ist somit unbegründet. b) Die Beschwerdeführerin führt ferner aus, in Art. 33 Abs. 1 lit. e KV werde die Festsetzung der dem Staat zukommenden Gebühren und Taxen dem Grossen Rat übertragen. Offenbar will sie damit rügen, die Festsetzung der Kanzleigebühren sei zu Unrecht an den Regierungsrat delegiert worden. Eine Subdelegation von Rechtsetzungsbefugnissen vom Grossen Rat an den Regierungsrat ist nach der bundesgerichtlichen Rechtsprechung jedoch unter bestimmten Voraussetzungen zulässig und wird auch von Art. 33 KV nicht grundsätzlich ausgeschlossen. Die Beschwerdeführerin tut nicht dar, dass im vorliegenden Fall die Voraussetzungen für eine Subdelegation fehlen. Die Rüge der unzulässigen Subdelegation erweist sich somit als ungenügend begründet und ist nicht zu untersuchen ( Art. 90 Abs. 1 lit. b OG ). c) Die Beschwerdeführerin macht weiter geltend, es gebe kein Gesetz, das wenigstens die Grundzüge der hier streitigen Gebühr umschreiben würde. Sie rügt somit, die angefochtene Gebühr könne sich nicht auf eine gesetzliche Grundlage stützen. Nach der Rechtsprechung des Bundesgerichts bedürfen alle öffentlichen Abgaben - mit Ausnahme der Kanzleigebühren - der Grundlage in einem Gesetz im formellen Sinn, d.h. in einem dem Referendum unterstehenden Erlass ( BGE 106 Ia 202 E. 2a, BGE 105 Ia 4 , 144 ff. E. 5a mit Hinweisen). Unter Kanzleigebühren sind Abgaben für einfache Tätigkeiten der Verwaltung zu verstehen, die ohne besonderen Prüfungs- und Kontrollaufwand erbracht werden und sich in ihrer Höhe in einem bescheidenen Rahmen halten ( BGE 104 Ia 115 E. 3 mit Hinweisen). Die Herstellung von Fotokopien für die Eröffnung von letztwilligen Verfügungen stellt eine einfache Tätigkeit der Verwaltung im Sinne dieser Rechtsprechung dar. Die dafür erhobene Abgabe von Fr. 2.-- pro Fotokopie hält BGE 107 Ia 29 S. 33 sich zudem in einem bescheidenen Rahmen. Dass infolge der Erstellung einer grossen Anzahl von Kopien ein Mehrfaches dieses Ansatzes in Rechnung gestellt worden ist, ändert nichts an dieser Beurteilung, denn durch die Multiplikation von einzelnen "bescheidenen" Beträgen entsteht kein Gesamtbetrag, der nicht mehr als bescheidene Gebühr betrachtet werden könnte. Unter diesen Umständen kann die angefochtene Abgabe als Kanzleigebühr, welche keiner gesetzlichen Grundlage bedarf, betrachtet werden. Die Rüge der fehlenden gesetzlichen Grundlage, dringt somit nicht durch. d) Der Umstand, dass Kanzleigebühren auch ohne formell gesetzliche Grundlage erhoben werden dürfen, schliesst nicht aus, dass sich der Bürger zur Anfechtung solcher Gebühren auf das Äquivalenzprinzip, das Kostendeckungsprinzip sowie das Willkürverbot und den Grundsatz der Rechtsgleichheit berufen kann. Im vorliegenden Fall rügt die Beschwerdeführerin in erster Linie, die angefochtene Gebühr verletze das Äquivalenzprinzip. Nach dem Äquivalenzprinzip, wie es in der bundesgerichtlichen Rechtsprechung verstanden wird, darf die Gebühr zum objektiven Wert der Leistung nicht in ein offensichtliches Missverhältnis geraten und muss sich in vernünftigen Grenzen bewegen ( BGE 103 Ia 89 ). Die im vorliegenden Verfahren streitige Gebühr von Fr. 1'888.-- wurde allein für die Herstellung von 944 Seiten Fotokopien erhoben. Es ist daher zu prüfen, ob dieser Betrag zum objektiven Wert dieser Fotokopien in einem offensichtlichen Missverhältnis steht. Der Regierungsrat geht in seiner Vernehmlassung davon aus, dass die Kosten für eine Fotokopie (Papier, Strom, Miete des Kopiergerätes) Fr. 0.20 betragen. Ferner stellt er Fr. 0.06 für die Miete und Heizung des Fotokopierraumes in Rechnung. Diese Beträge bewegen sich im Rahmen der heute üblichen Kosten und sind daher nicht zu beanstanden. Der Regierungsrat ist im weiteren der Ansicht, für die Herstellung einer Fotokopie würden drei Minuten benötigt. Bei einem Stundenansatz von Fr. 32.-- ergeben sich somit nach seiner Berechnung Lohnkosten von Fr. 1.60 pro Fotokopie. Bei einem Stundenansatz von Fr. 40.-- erhöhen sich diese Kosten sogar auf Fr. 2.26. Wenn für die Herstellung einer Fotokopie drei Minuten eingesetzt werden, würde die Herstellung der im vorliegenden Fall benötigten 944 Kopien ungefähr 5 Arbeitstage in Anspruch nehmen. Ein solcher Zeitraum wird aber für die Herstellung der BGE 107 Ia 29 S. 34 genannten Anzahl von Fotokopien keinesfalls benötigt. Das Bundesgericht ist zwar nicht in der Lage, um genau anzugeben, wieviele Stunden für die Herstellung von 944 Fotokopien einzusetzen sind. Die für diese Arbeit benötigte Zeit hängt stark von den Einrichtungen und insbesondere vom Fotokopiergerät ab, das im Einzelfall benützt wird. Es scheint allerdings, dass ungefähr ein Arbeitstag genügen sollte, um die im vorliegenden Fall benötigten 944 Fotokopien herzustellen und daraus die 73 Ausfertigungen der letztwilligen Verfügungen zusammenzusetzen. Unter diesen Umständen steht die aufgrund einer Herstellungszeit von drei Minuten pro Kopie berechnete Gebühr von Fr. 1'888.-- in einem offensichtlichen Missverhältnis zum objektiven Wert der Leistung. Die Rüge, die beanstandete Gebührenauflage verletze das Äquivalenzprinzip, erweist sich somit als begründet. Dies führt Gutheissung der Beschwerde und zur Aufhebung des angefochtenen Entscheides. Bei einer grossen Auflage von Fotokopien, wie sie im vorliegenden Fall hergestellt werden musste, wäre ein Gebührenansatz von Fr. 1.-- pro Kopie (der von der kantonalen Finanzkontrolle empfohlen und von der Beschwerdeführerin anerkannt wurde) mit dem Äquivalenzprinzip vereinbar. Eine solche Gebühr stünde nicht in einem offensichtlichen Missverhältnis zur Gegenleistung, insbesondere zum benötigten Arbeitsaufwand. Der im vorliegenden Fall angewandte Gebührentarif von Fr. 2.-- pro Fotokopie wäre hingegen bei kleineren Auflagen möglicherweise gerechtfertigt, da bei solchen Auflagen der Arbeitsaufwand pro Kopie grösser ist als bei grossen Auflagen. Über die Frage des anzuwendenden Gebührenansatzes ist im vorliegenden Verfahren aber nicht zu entscheiden. e) Da die Beschwerde bereits aus dem erwähnten Grund gutgeheissen werden muss, ist nicht zu prüfen, ob die angefochtene Gebühr, wie von der Beschwerdeführerin zusätzlich behauptet, auch die Rechtsgleichheit verletzt.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